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67" w:rsidRDefault="005B6067" w:rsidP="005B6067">
      <w:pPr>
        <w:jc w:val="right"/>
        <w:rPr>
          <w:rFonts w:ascii="方正小标宋简体" w:eastAsia="方正小标宋简体" w:hAnsi="仿宋"/>
          <w:color w:val="FF0000"/>
          <w:sz w:val="44"/>
          <w:szCs w:val="44"/>
        </w:rPr>
      </w:pPr>
      <w:r>
        <w:rPr>
          <w:rFonts w:eastAsia="华文新魏"/>
          <w:color w:val="00000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华文新魏"/>
          <w:color w:val="000000"/>
          <w:sz w:val="28"/>
          <w:szCs w:val="28"/>
        </w:rPr>
        <w:instrText>ADDIN CNKISM.UserStyle</w:instrText>
      </w:r>
      <w:r>
        <w:rPr>
          <w:rFonts w:eastAsia="华文新魏"/>
          <w:color w:val="000000"/>
          <w:sz w:val="28"/>
          <w:szCs w:val="28"/>
        </w:rPr>
      </w:r>
      <w:r>
        <w:rPr>
          <w:rFonts w:eastAsia="华文新魏"/>
          <w:color w:val="000000"/>
          <w:sz w:val="28"/>
          <w:szCs w:val="28"/>
        </w:rPr>
        <w:fldChar w:fldCharType="end"/>
      </w:r>
      <w:r>
        <w:rPr>
          <w:rFonts w:eastAsia="华文新魏"/>
          <w:color w:val="000000"/>
          <w:sz w:val="28"/>
          <w:szCs w:val="28"/>
        </w:rPr>
        <w:t>内部资料</w:t>
      </w:r>
    </w:p>
    <w:p w:rsidR="005B6067" w:rsidRPr="00C129BE" w:rsidRDefault="005B6067" w:rsidP="005B6067">
      <w:pPr>
        <w:jc w:val="center"/>
        <w:rPr>
          <w:rFonts w:ascii="方正小标宋简体" w:eastAsia="方正小标宋简体" w:hAnsi="仿宋"/>
          <w:color w:val="FF0000"/>
          <w:sz w:val="20"/>
          <w:szCs w:val="44"/>
        </w:rPr>
      </w:pPr>
    </w:p>
    <w:p w:rsidR="005B6067" w:rsidRPr="00016D8D" w:rsidRDefault="00016D8D" w:rsidP="005B6067">
      <w:pPr>
        <w:jc w:val="center"/>
        <w:rPr>
          <w:rFonts w:ascii="方正小标宋_GBK" w:eastAsia="方正小标宋_GBK" w:hAnsi="仿宋"/>
          <w:color w:val="0070C0"/>
          <w:sz w:val="44"/>
          <w:szCs w:val="44"/>
        </w:rPr>
      </w:pPr>
      <w:r w:rsidRPr="00016D8D">
        <w:rPr>
          <w:rFonts w:ascii="方正小标宋_GBK" w:eastAsia="方正小标宋_GBK" w:hAnsi="仿宋" w:hint="eastAsia"/>
          <w:color w:val="0070C0"/>
          <w:sz w:val="44"/>
          <w:szCs w:val="44"/>
        </w:rPr>
        <w:t>国务院扶贫办与盖茨基金会合作项目</w:t>
      </w:r>
    </w:p>
    <w:p w:rsidR="005B6067" w:rsidRPr="00016D8D" w:rsidRDefault="004E2A1E" w:rsidP="005B6067">
      <w:pPr>
        <w:jc w:val="center"/>
        <w:rPr>
          <w:rFonts w:ascii="华文新魏" w:eastAsia="华文新魏"/>
          <w:color w:val="0070C0"/>
          <w:sz w:val="84"/>
          <w:szCs w:val="84"/>
        </w:rPr>
      </w:pPr>
      <w:r w:rsidRPr="00016D8D">
        <w:rPr>
          <w:rFonts w:ascii="华文新魏" w:eastAsia="华文新魏" w:hint="eastAsia"/>
          <w:color w:val="0070C0"/>
          <w:sz w:val="84"/>
          <w:szCs w:val="84"/>
        </w:rPr>
        <w:t>研究报告</w:t>
      </w:r>
    </w:p>
    <w:p w:rsidR="005B6067" w:rsidRPr="00655244" w:rsidRDefault="00016D8D" w:rsidP="005B6067">
      <w:pPr>
        <w:jc w:val="center"/>
        <w:rPr>
          <w:rFonts w:ascii="黑体" w:eastAsia="黑体" w:hAnsi="黑体"/>
          <w:sz w:val="32"/>
          <w:szCs w:val="32"/>
        </w:rPr>
      </w:pPr>
      <w:r w:rsidRPr="00655244">
        <w:rPr>
          <w:rFonts w:ascii="黑体" w:eastAsia="黑体" w:hAnsi="黑体" w:hint="eastAsia"/>
          <w:sz w:val="32"/>
          <w:szCs w:val="32"/>
        </w:rPr>
        <w:t>20</w:t>
      </w:r>
      <w:r w:rsidRPr="00655244">
        <w:rPr>
          <w:rFonts w:ascii="黑体" w:eastAsia="黑体" w:hAnsi="黑体"/>
          <w:sz w:val="32"/>
          <w:szCs w:val="32"/>
        </w:rPr>
        <w:t>20</w:t>
      </w:r>
      <w:r w:rsidRPr="00655244">
        <w:rPr>
          <w:rFonts w:ascii="黑体" w:eastAsia="黑体" w:hAnsi="黑体" w:hint="eastAsia"/>
          <w:sz w:val="32"/>
          <w:szCs w:val="32"/>
        </w:rPr>
        <w:t>年 第1</w:t>
      </w:r>
      <w:bookmarkStart w:id="0" w:name="_GoBack"/>
      <w:bookmarkEnd w:id="0"/>
      <w:r w:rsidRPr="00655244">
        <w:rPr>
          <w:rFonts w:ascii="黑体" w:eastAsia="黑体" w:hAnsi="黑体" w:hint="eastAsia"/>
          <w:sz w:val="32"/>
          <w:szCs w:val="32"/>
        </w:rPr>
        <w:t>期</w:t>
      </w:r>
    </w:p>
    <w:p w:rsidR="00016D8D" w:rsidRPr="00387A8E" w:rsidRDefault="00016D8D" w:rsidP="005B6067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B6067" w:rsidRDefault="005B6067" w:rsidP="005B6067">
      <w:pPr>
        <w:spacing w:line="360" w:lineRule="exact"/>
        <w:rPr>
          <w:rFonts w:eastAsia="华文新魏"/>
          <w:color w:val="000000"/>
          <w:sz w:val="32"/>
          <w:szCs w:val="32"/>
        </w:rPr>
      </w:pPr>
      <w:r>
        <w:rPr>
          <w:rFonts w:eastAsia="华文新魏" w:hint="eastAsia"/>
          <w:color w:val="000000"/>
          <w:sz w:val="32"/>
          <w:szCs w:val="32"/>
        </w:rPr>
        <w:t>中国国际扶贫中心</w:t>
      </w:r>
      <w:r>
        <w:rPr>
          <w:rFonts w:eastAsia="华文新魏" w:hint="eastAsia"/>
          <w:color w:val="000000"/>
          <w:sz w:val="32"/>
          <w:szCs w:val="32"/>
        </w:rPr>
        <w:t xml:space="preserve">        </w:t>
      </w:r>
      <w:r w:rsidR="003D125E">
        <w:rPr>
          <w:rFonts w:ascii="楷体_GB2312" w:eastAsia="楷体_GB2312" w:hint="eastAsia"/>
          <w:sz w:val="28"/>
          <w:szCs w:val="28"/>
        </w:rPr>
        <w:t xml:space="preserve">             </w:t>
      </w:r>
      <w:r>
        <w:rPr>
          <w:rFonts w:eastAsia="华文新魏" w:hint="eastAsia"/>
          <w:color w:val="000000"/>
          <w:sz w:val="32"/>
          <w:szCs w:val="32"/>
        </w:rPr>
        <w:t>20</w:t>
      </w:r>
      <w:r w:rsidR="00016D8D">
        <w:rPr>
          <w:rFonts w:eastAsia="华文新魏"/>
          <w:color w:val="000000"/>
          <w:sz w:val="32"/>
          <w:szCs w:val="32"/>
        </w:rPr>
        <w:t>20</w:t>
      </w:r>
      <w:r>
        <w:rPr>
          <w:rFonts w:eastAsia="华文新魏" w:hint="eastAsia"/>
          <w:color w:val="000000"/>
          <w:sz w:val="32"/>
          <w:szCs w:val="32"/>
        </w:rPr>
        <w:t>年</w:t>
      </w:r>
      <w:r>
        <w:rPr>
          <w:rFonts w:eastAsia="华文新魏"/>
          <w:color w:val="000000"/>
          <w:sz w:val="32"/>
          <w:szCs w:val="32"/>
        </w:rPr>
        <w:t>1</w:t>
      </w:r>
      <w:r>
        <w:rPr>
          <w:rFonts w:eastAsia="华文新魏" w:hint="eastAsia"/>
          <w:color w:val="000000"/>
          <w:sz w:val="32"/>
          <w:szCs w:val="32"/>
        </w:rPr>
        <w:t>月</w:t>
      </w:r>
      <w:r w:rsidR="00016D8D">
        <w:rPr>
          <w:rFonts w:eastAsia="华文新魏" w:hint="eastAsia"/>
          <w:color w:val="000000"/>
          <w:sz w:val="32"/>
          <w:szCs w:val="32"/>
        </w:rPr>
        <w:t>8</w:t>
      </w:r>
      <w:r>
        <w:rPr>
          <w:rFonts w:eastAsia="华文新魏" w:hint="eastAsia"/>
          <w:color w:val="000000"/>
          <w:sz w:val="32"/>
          <w:szCs w:val="32"/>
        </w:rPr>
        <w:t>日</w:t>
      </w:r>
    </w:p>
    <w:p w:rsidR="005B6067" w:rsidRDefault="005B6067" w:rsidP="005B6067">
      <w:pPr>
        <w:rPr>
          <w:rFonts w:ascii="黑体" w:eastAsia="黑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125730</wp:posOffset>
                </wp:positionV>
                <wp:extent cx="5399405" cy="635"/>
                <wp:effectExtent l="10160" t="11430" r="10160" b="165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8FF6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9pt" to="42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" strokeweight="1.5pt"/>
            </w:pict>
          </mc:Fallback>
        </mc:AlternateContent>
      </w:r>
    </w:p>
    <w:p w:rsidR="00EC7988" w:rsidRPr="00EC7988" w:rsidRDefault="00EC7988" w:rsidP="00EC7988">
      <w:pPr>
        <w:adjustRightInd w:val="0"/>
        <w:ind w:firstLineChars="200" w:firstLine="643"/>
        <w:rPr>
          <w:rFonts w:ascii="楷体" w:eastAsia="楷体" w:hAnsi="楷体" w:cs="方正小标宋简体"/>
          <w:sz w:val="32"/>
          <w:szCs w:val="36"/>
        </w:rPr>
      </w:pPr>
      <w:r w:rsidRPr="00C129BE">
        <w:rPr>
          <w:rFonts w:ascii="楷体" w:eastAsia="楷体" w:hAnsi="楷体" w:cs="方正小标宋简体" w:hint="eastAsia"/>
          <w:b/>
          <w:sz w:val="32"/>
          <w:szCs w:val="36"/>
        </w:rPr>
        <w:t>编者按</w:t>
      </w:r>
      <w:r w:rsidRPr="00EC7988">
        <w:rPr>
          <w:rFonts w:ascii="楷体" w:eastAsia="楷体" w:hAnsi="楷体" w:cs="方正小标宋简体" w:hint="eastAsia"/>
          <w:sz w:val="32"/>
          <w:szCs w:val="36"/>
        </w:rPr>
        <w:t>：</w:t>
      </w:r>
      <w:r w:rsidR="00016D8D" w:rsidRPr="00016D8D">
        <w:rPr>
          <w:rFonts w:ascii="楷体" w:eastAsia="楷体" w:hAnsi="楷体" w:cs="方正小标宋简体" w:hint="eastAsia"/>
          <w:sz w:val="32"/>
          <w:szCs w:val="36"/>
        </w:rPr>
        <w:t>国务院扶贫办与盖茨基金会合作项目旨在梳理总结中国扶贫经验，</w:t>
      </w:r>
      <w:r w:rsidR="00016D8D" w:rsidRPr="00153DAE">
        <w:rPr>
          <w:rFonts w:ascii="楷体" w:eastAsia="楷体" w:hAnsi="楷体" w:cs="Calibri" w:hint="eastAsia"/>
          <w:sz w:val="32"/>
          <w:szCs w:val="32"/>
        </w:rPr>
        <w:t>研究发达国家</w:t>
      </w:r>
      <w:r w:rsidR="00016D8D">
        <w:rPr>
          <w:rFonts w:ascii="楷体" w:eastAsia="楷体" w:hAnsi="楷体" w:cs="Calibri" w:hint="eastAsia"/>
          <w:sz w:val="32"/>
          <w:szCs w:val="32"/>
        </w:rPr>
        <w:t>及有关发展中国家减贫</w:t>
      </w:r>
      <w:r w:rsidR="00016D8D" w:rsidRPr="00153DAE">
        <w:rPr>
          <w:rFonts w:ascii="楷体" w:eastAsia="楷体" w:hAnsi="楷体" w:cs="Calibri" w:hint="eastAsia"/>
          <w:sz w:val="32"/>
          <w:szCs w:val="32"/>
        </w:rPr>
        <w:t>经验</w:t>
      </w:r>
      <w:r w:rsidR="00016D8D">
        <w:rPr>
          <w:rFonts w:ascii="楷体" w:eastAsia="楷体" w:hAnsi="楷体" w:cs="Calibri" w:hint="eastAsia"/>
          <w:sz w:val="32"/>
          <w:szCs w:val="32"/>
        </w:rPr>
        <w:t>，</w:t>
      </w:r>
      <w:r w:rsidR="00016D8D" w:rsidRPr="00016D8D">
        <w:rPr>
          <w:rFonts w:ascii="楷体" w:eastAsia="楷体" w:hAnsi="楷体" w:cs="方正小标宋简体" w:hint="eastAsia"/>
          <w:sz w:val="32"/>
          <w:szCs w:val="36"/>
        </w:rPr>
        <w:t>促进国际减贫经验交流与分享</w:t>
      </w:r>
      <w:r w:rsidR="005464F3" w:rsidRPr="00153DAE">
        <w:rPr>
          <w:rFonts w:ascii="楷体" w:eastAsia="楷体" w:hAnsi="楷体" w:cs="Calibri" w:hint="eastAsia"/>
          <w:sz w:val="32"/>
          <w:szCs w:val="32"/>
        </w:rPr>
        <w:t>。</w:t>
      </w:r>
      <w:r w:rsidR="005464F3">
        <w:rPr>
          <w:rFonts w:ascii="楷体" w:eastAsia="楷体" w:hAnsi="楷体" w:cs="方正小标宋简体" w:hint="eastAsia"/>
          <w:sz w:val="32"/>
          <w:szCs w:val="36"/>
        </w:rPr>
        <w:t>我中心</w:t>
      </w:r>
      <w:r w:rsidR="00C129BE">
        <w:rPr>
          <w:rFonts w:ascii="楷体" w:eastAsia="楷体" w:hAnsi="楷体" w:cs="方正小标宋简体" w:hint="eastAsia"/>
          <w:sz w:val="32"/>
          <w:szCs w:val="36"/>
        </w:rPr>
        <w:t>根据</w:t>
      </w:r>
      <w:r w:rsidR="00016D8D">
        <w:rPr>
          <w:rFonts w:ascii="楷体" w:eastAsia="楷体" w:hAnsi="楷体" w:cs="方正小标宋简体" w:hint="eastAsia"/>
          <w:sz w:val="32"/>
          <w:szCs w:val="36"/>
        </w:rPr>
        <w:t>该项目</w:t>
      </w:r>
      <w:r w:rsidR="00C129BE">
        <w:rPr>
          <w:rFonts w:ascii="楷体" w:eastAsia="楷体" w:hAnsi="楷体" w:cs="方正小标宋简体" w:hint="eastAsia"/>
          <w:sz w:val="32"/>
          <w:szCs w:val="36"/>
        </w:rPr>
        <w:t>阶段性</w:t>
      </w:r>
      <w:r w:rsidR="00016D8D">
        <w:rPr>
          <w:rFonts w:ascii="楷体" w:eastAsia="楷体" w:hAnsi="楷体" w:cs="方正小标宋简体" w:hint="eastAsia"/>
          <w:sz w:val="32"/>
          <w:szCs w:val="36"/>
        </w:rPr>
        <w:t>研究</w:t>
      </w:r>
      <w:r w:rsidR="00D473F4">
        <w:rPr>
          <w:rFonts w:ascii="楷体" w:eastAsia="楷体" w:hAnsi="楷体" w:cs="方正小标宋简体" w:hint="eastAsia"/>
          <w:sz w:val="32"/>
          <w:szCs w:val="36"/>
        </w:rPr>
        <w:t>成果编辑整理</w:t>
      </w:r>
      <w:r w:rsidR="005464F3">
        <w:rPr>
          <w:rFonts w:ascii="楷体" w:eastAsia="楷体" w:hAnsi="楷体" w:cs="方正小标宋简体" w:hint="eastAsia"/>
          <w:sz w:val="32"/>
          <w:szCs w:val="36"/>
        </w:rPr>
        <w:t>《研究报告》分期报送</w:t>
      </w:r>
      <w:r w:rsidR="00C129BE">
        <w:rPr>
          <w:rFonts w:ascii="楷体" w:eastAsia="楷体" w:hAnsi="楷体" w:cs="方正小标宋简体" w:hint="eastAsia"/>
          <w:sz w:val="32"/>
          <w:szCs w:val="36"/>
        </w:rPr>
        <w:t>。</w:t>
      </w:r>
    </w:p>
    <w:p w:rsidR="00EC7988" w:rsidRPr="00230BA2" w:rsidRDefault="00EC7988" w:rsidP="00EC7988">
      <w:pPr>
        <w:adjustRightInd w:val="0"/>
        <w:ind w:firstLineChars="200" w:firstLine="480"/>
        <w:rPr>
          <w:rFonts w:ascii="方正小标宋简体" w:eastAsia="方正小标宋简体" w:hAnsi="方正小标宋简体" w:cs="方正小标宋简体"/>
          <w:sz w:val="24"/>
          <w:szCs w:val="36"/>
        </w:rPr>
      </w:pPr>
    </w:p>
    <w:p w:rsidR="00ED77F2" w:rsidRPr="003D125E" w:rsidRDefault="002D0064" w:rsidP="003B4798">
      <w:pPr>
        <w:adjustRightInd w:val="0"/>
        <w:snapToGrid w:val="0"/>
        <w:jc w:val="center"/>
        <w:rPr>
          <w:rFonts w:ascii="方正小标宋_GBK" w:eastAsia="方正小标宋_GBK" w:hAnsi="黑体" w:cs="方正小标宋简体"/>
          <w:sz w:val="44"/>
          <w:szCs w:val="36"/>
        </w:rPr>
      </w:pPr>
      <w:r w:rsidRPr="003D125E">
        <w:rPr>
          <w:rFonts w:ascii="方正小标宋_GBK" w:eastAsia="方正小标宋_GBK" w:hAnsi="黑体" w:cs="方正小标宋简体" w:hint="eastAsia"/>
          <w:sz w:val="44"/>
          <w:szCs w:val="36"/>
        </w:rPr>
        <w:t>空间价格变化对减贫政策的影响</w:t>
      </w:r>
    </w:p>
    <w:p w:rsidR="009440C0" w:rsidRPr="00230BA2" w:rsidRDefault="009440C0" w:rsidP="00533EF9">
      <w:pPr>
        <w:adjustRightInd w:val="0"/>
        <w:snapToGrid w:val="0"/>
        <w:jc w:val="center"/>
        <w:rPr>
          <w:rFonts w:ascii="楷体" w:eastAsia="楷体" w:hAnsi="楷体" w:cs="方正小标宋简体"/>
          <w:sz w:val="24"/>
          <w:szCs w:val="36"/>
        </w:rPr>
      </w:pPr>
    </w:p>
    <w:p w:rsidR="005B6067" w:rsidRPr="00230BA2" w:rsidRDefault="002D0064" w:rsidP="00533EF9">
      <w:pPr>
        <w:adjustRightInd w:val="0"/>
        <w:snapToGrid w:val="0"/>
        <w:jc w:val="center"/>
        <w:rPr>
          <w:rFonts w:ascii="楷体" w:eastAsia="楷体" w:hAnsi="楷体" w:cs="方正小标宋简体"/>
          <w:sz w:val="28"/>
          <w:szCs w:val="36"/>
        </w:rPr>
      </w:pPr>
      <w:r w:rsidRPr="00230BA2">
        <w:rPr>
          <w:rFonts w:ascii="楷体" w:eastAsia="楷体" w:hAnsi="楷体" w:cs="方正小标宋简体" w:hint="eastAsia"/>
          <w:sz w:val="28"/>
          <w:szCs w:val="36"/>
        </w:rPr>
        <w:t>约翰·吉布森</w:t>
      </w:r>
    </w:p>
    <w:p w:rsidR="00ED77F2" w:rsidRPr="00230BA2" w:rsidRDefault="008262BE" w:rsidP="00533EF9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6"/>
        </w:rPr>
      </w:pPr>
      <w:r w:rsidRPr="00230BA2">
        <w:rPr>
          <w:rFonts w:ascii="Times New Roman" w:eastAsia="楷体" w:hAnsi="Times New Roman" w:cs="Times New Roman" w:hint="eastAsia"/>
          <w:sz w:val="28"/>
          <w:szCs w:val="36"/>
        </w:rPr>
        <w:t>（</w:t>
      </w:r>
      <w:r w:rsidRPr="00230BA2">
        <w:rPr>
          <w:rFonts w:ascii="Times New Roman" w:eastAsia="楷体" w:hAnsi="Times New Roman" w:cs="Times New Roman"/>
          <w:sz w:val="28"/>
          <w:szCs w:val="36"/>
        </w:rPr>
        <w:t>John Gibson</w:t>
      </w:r>
      <w:r w:rsidRPr="00230BA2">
        <w:rPr>
          <w:rFonts w:ascii="Times New Roman" w:eastAsia="楷体" w:hAnsi="Times New Roman" w:cs="Times New Roman" w:hint="eastAsia"/>
          <w:sz w:val="28"/>
          <w:szCs w:val="36"/>
        </w:rPr>
        <w:t>）</w:t>
      </w:r>
    </w:p>
    <w:p w:rsidR="005B6067" w:rsidRPr="00230BA2" w:rsidRDefault="006E6B21" w:rsidP="00533EF9">
      <w:pPr>
        <w:adjustRightInd w:val="0"/>
        <w:snapToGrid w:val="0"/>
        <w:jc w:val="center"/>
        <w:rPr>
          <w:rFonts w:ascii="楷体" w:eastAsia="楷体" w:hAnsi="楷体" w:cs="方正小标宋简体"/>
          <w:sz w:val="28"/>
          <w:szCs w:val="36"/>
        </w:rPr>
      </w:pPr>
      <w:r w:rsidRPr="00230BA2">
        <w:rPr>
          <w:rFonts w:ascii="楷体" w:eastAsia="楷体" w:hAnsi="楷体" w:cs="方正小标宋简体" w:hint="eastAsia"/>
          <w:sz w:val="28"/>
          <w:szCs w:val="36"/>
        </w:rPr>
        <w:t>新西兰怀卡托大学</w:t>
      </w:r>
    </w:p>
    <w:p w:rsidR="00ED77F2" w:rsidRPr="00230BA2" w:rsidRDefault="008262BE" w:rsidP="00533EF9">
      <w:pPr>
        <w:adjustRightInd w:val="0"/>
        <w:snapToGrid w:val="0"/>
        <w:jc w:val="center"/>
        <w:rPr>
          <w:rFonts w:ascii="Times New Roman" w:eastAsia="楷体" w:hAnsi="Times New Roman" w:cs="Times New Roman"/>
          <w:sz w:val="28"/>
          <w:szCs w:val="36"/>
        </w:rPr>
      </w:pPr>
      <w:r w:rsidRPr="00230BA2">
        <w:rPr>
          <w:rFonts w:ascii="Times New Roman" w:eastAsia="楷体" w:hAnsi="Times New Roman" w:cs="Times New Roman"/>
          <w:sz w:val="28"/>
          <w:szCs w:val="36"/>
        </w:rPr>
        <w:t>(The University of Waikato)</w:t>
      </w:r>
    </w:p>
    <w:p w:rsidR="006E6B21" w:rsidRPr="00230BA2" w:rsidRDefault="006E6B21">
      <w:pPr>
        <w:adjustRightInd w:val="0"/>
        <w:snapToGrid w:val="0"/>
        <w:ind w:firstLineChars="200" w:firstLine="480"/>
        <w:jc w:val="center"/>
        <w:rPr>
          <w:rFonts w:ascii="方正小标宋简体" w:eastAsia="方正小标宋简体" w:hAnsi="方正小标宋简体" w:cs="方正小标宋简体"/>
          <w:sz w:val="24"/>
          <w:szCs w:val="36"/>
        </w:rPr>
      </w:pP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黑体" w:eastAsia="黑体" w:hAnsi="黑体" w:cs="黑体"/>
          <w:sz w:val="36"/>
          <w:szCs w:val="32"/>
        </w:rPr>
      </w:pPr>
      <w:r w:rsidRPr="003D125E">
        <w:rPr>
          <w:rFonts w:ascii="黑体" w:eastAsia="黑体" w:hAnsi="黑体" w:cs="黑体" w:hint="eastAsia"/>
          <w:sz w:val="36"/>
          <w:szCs w:val="32"/>
        </w:rPr>
        <w:t>一、摆脱大规模贫困</w:t>
      </w:r>
      <w:r w:rsidR="00B634A0" w:rsidRPr="003D125E">
        <w:rPr>
          <w:rFonts w:ascii="黑体" w:eastAsia="黑体" w:hAnsi="黑体" w:cs="黑体" w:hint="eastAsia"/>
          <w:sz w:val="36"/>
          <w:szCs w:val="32"/>
        </w:rPr>
        <w:t>后需关注的问题</w:t>
      </w:r>
    </w:p>
    <w:p w:rsidR="00ED77F2" w:rsidRPr="003D125E" w:rsidRDefault="007B4BB3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当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一国摆脱大规模贫困</w:t>
      </w:r>
      <w:r w:rsidR="000166FA" w:rsidRPr="003D125E">
        <w:rPr>
          <w:rFonts w:ascii="仿宋_GB2312" w:eastAsia="仿宋_GB2312" w:hAnsi="仿宋_GB2312" w:cs="仿宋_GB2312" w:hint="eastAsia"/>
          <w:sz w:val="36"/>
          <w:szCs w:val="32"/>
        </w:rPr>
        <w:t>后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会遇到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两种情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形</w:t>
      </w:r>
      <w:r w:rsidR="002B2063" w:rsidRPr="003D125E"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="00B634A0" w:rsidRPr="003D125E">
        <w:rPr>
          <w:rFonts w:ascii="仿宋_GB2312" w:eastAsia="仿宋_GB2312" w:hAnsi="仿宋_GB2312" w:cs="仿宋_GB2312" w:hint="eastAsia"/>
          <w:sz w:val="36"/>
          <w:szCs w:val="32"/>
        </w:rPr>
        <w:t>均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要求在制定减贫政策时考虑空间价格差异。</w:t>
      </w:r>
    </w:p>
    <w:p w:rsidR="00ED77F2" w:rsidRPr="003D125E" w:rsidRDefault="002B2063" w:rsidP="003D125E">
      <w:pPr>
        <w:adjustRightInd w:val="0"/>
        <w:snapToGrid w:val="0"/>
        <w:spacing w:line="360" w:lineRule="auto"/>
        <w:ind w:firstLineChars="200" w:firstLine="723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b/>
          <w:bCs/>
          <w:sz w:val="36"/>
          <w:szCs w:val="32"/>
        </w:rPr>
        <w:t>一是</w:t>
      </w:r>
      <w:r w:rsidR="002D0064" w:rsidRPr="003D125E">
        <w:rPr>
          <w:rFonts w:ascii="仿宋_GB2312" w:eastAsia="仿宋_GB2312" w:hAnsi="仿宋_GB2312" w:cs="仿宋_GB2312" w:hint="eastAsia"/>
          <w:b/>
          <w:bCs/>
          <w:sz w:val="36"/>
          <w:szCs w:val="32"/>
        </w:rPr>
        <w:t>减贫对不平等变化的敏感性增加，而对经济</w:t>
      </w:r>
      <w:r w:rsidR="002D0064" w:rsidRPr="003D125E">
        <w:rPr>
          <w:rFonts w:ascii="仿宋_GB2312" w:eastAsia="仿宋_GB2312" w:hAnsi="仿宋_GB2312" w:cs="仿宋_GB2312" w:hint="eastAsia"/>
          <w:b/>
          <w:bCs/>
          <w:sz w:val="36"/>
          <w:szCs w:val="32"/>
        </w:rPr>
        <w:lastRenderedPageBreak/>
        <w:t>增长的敏感性降低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。当国家摆脱大规模贫困后，减贫政策对减少社会不平衡更有效，而对促进经济增长的作用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不如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以前明显。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在这种情况下，</w:t>
      </w:r>
      <w:r w:rsidR="002B2063" w:rsidRPr="003D125E">
        <w:rPr>
          <w:rFonts w:ascii="仿宋_GB2312" w:eastAsia="仿宋_GB2312" w:hAnsi="仿宋_GB2312" w:cs="仿宋_GB2312" w:hint="eastAsia"/>
          <w:sz w:val="36"/>
          <w:szCs w:val="32"/>
        </w:rPr>
        <w:t>需要对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不平等</w:t>
      </w:r>
      <w:r w:rsidR="002B2063" w:rsidRPr="003D125E">
        <w:rPr>
          <w:rFonts w:ascii="仿宋_GB2312" w:eastAsia="仿宋_GB2312" w:hAnsi="仿宋_GB2312" w:cs="仿宋_GB2312" w:hint="eastAsia"/>
          <w:sz w:val="36"/>
          <w:szCs w:val="32"/>
        </w:rPr>
        <w:t>进行精准测量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一般的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家庭调查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方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法在衡量平均消费或收入时比衡量收入分配时更有效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，但不再适合这一阶段贫困测量的需求。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例如，人们通常消费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许多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商品和服务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，而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在外面吃饭等这类商品和服务很难通过调查来定价。当前研究所面临的挑战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是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要在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各区域和城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乡等值的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基础上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开展贫困测量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，即考虑到</w:t>
      </w:r>
      <w:r w:rsidR="00947CC8" w:rsidRPr="003D125E">
        <w:rPr>
          <w:rFonts w:ascii="仿宋_GB2312" w:eastAsia="仿宋_GB2312" w:hAnsi="仿宋_GB2312" w:cs="仿宋_GB2312" w:hint="eastAsia"/>
          <w:sz w:val="36"/>
          <w:szCs w:val="32"/>
        </w:rPr>
        <w:t>不同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地区间生活费用的差异。</w:t>
      </w:r>
    </w:p>
    <w:p w:rsidR="00ED77F2" w:rsidRPr="003D125E" w:rsidRDefault="002B2063" w:rsidP="003D125E">
      <w:pPr>
        <w:adjustRightInd w:val="0"/>
        <w:snapToGrid w:val="0"/>
        <w:spacing w:line="360" w:lineRule="auto"/>
        <w:ind w:firstLineChars="200" w:firstLine="723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b/>
          <w:bCs/>
          <w:sz w:val="36"/>
          <w:szCs w:val="32"/>
        </w:rPr>
        <w:t>二是</w:t>
      </w:r>
      <w:r w:rsidR="002D0064" w:rsidRPr="003D125E">
        <w:rPr>
          <w:rFonts w:ascii="仿宋_GB2312" w:eastAsia="仿宋_GB2312" w:hAnsi="仿宋_GB2312" w:cs="仿宋_GB2312" w:hint="eastAsia"/>
          <w:b/>
          <w:bCs/>
          <w:sz w:val="36"/>
          <w:szCs w:val="32"/>
        </w:rPr>
        <w:t>商品和服务的质量变得更加重要。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家庭调查收集价格数据</w:t>
      </w:r>
      <w:r w:rsidR="009E15E4" w:rsidRPr="003D125E">
        <w:rPr>
          <w:rFonts w:ascii="仿宋_GB2312" w:eastAsia="仿宋_GB2312" w:hAnsi="仿宋_GB2312" w:cs="仿宋_GB2312" w:hint="eastAsia"/>
          <w:sz w:val="36"/>
          <w:szCs w:val="32"/>
        </w:rPr>
        <w:t>，比如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世界银行的</w:t>
      </w:r>
      <w:r w:rsidR="009E15E4" w:rsidRPr="003D125E">
        <w:rPr>
          <w:rFonts w:ascii="仿宋_GB2312" w:eastAsia="仿宋_GB2312" w:hAnsi="仿宋_GB2312" w:cs="仿宋_GB2312" w:hint="eastAsia"/>
          <w:sz w:val="36"/>
          <w:szCs w:val="32"/>
        </w:rPr>
        <w:t>生活水平评估研究（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L</w:t>
      </w:r>
      <w:r w:rsidR="009E15E4" w:rsidRPr="003D125E">
        <w:rPr>
          <w:rFonts w:ascii="仿宋_GB2312" w:eastAsia="仿宋_GB2312" w:hAnsi="仿宋_GB2312" w:cs="仿宋_GB2312"/>
          <w:sz w:val="36"/>
          <w:szCs w:val="32"/>
        </w:rPr>
        <w:t xml:space="preserve">iving 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S</w:t>
      </w:r>
      <w:r w:rsidR="009E15E4" w:rsidRPr="003D125E">
        <w:rPr>
          <w:rFonts w:ascii="仿宋_GB2312" w:eastAsia="仿宋_GB2312" w:hAnsi="仿宋_GB2312" w:cs="仿宋_GB2312"/>
          <w:sz w:val="36"/>
          <w:szCs w:val="32"/>
        </w:rPr>
        <w:t xml:space="preserve">tandard 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M</w:t>
      </w:r>
      <w:r w:rsidR="009E15E4" w:rsidRPr="003D125E">
        <w:rPr>
          <w:rFonts w:ascii="仿宋_GB2312" w:eastAsia="仿宋_GB2312" w:hAnsi="仿宋_GB2312" w:cs="仿宋_GB2312"/>
          <w:sz w:val="36"/>
          <w:szCs w:val="32"/>
        </w:rPr>
        <w:t xml:space="preserve">easurement 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S</w:t>
      </w:r>
      <w:r w:rsidR="009E15E4" w:rsidRPr="003D125E">
        <w:rPr>
          <w:rFonts w:ascii="仿宋_GB2312" w:eastAsia="仿宋_GB2312" w:hAnsi="仿宋_GB2312" w:cs="仿宋_GB2312"/>
          <w:sz w:val="36"/>
          <w:szCs w:val="32"/>
        </w:rPr>
        <w:t>tudy</w:t>
      </w:r>
      <w:r w:rsidR="009E15E4" w:rsidRPr="003D125E">
        <w:rPr>
          <w:rFonts w:ascii="仿宋_GB2312" w:eastAsia="仿宋_GB2312" w:hAnsi="仿宋_GB2312" w:cs="仿宋_GB2312" w:hint="eastAsia"/>
          <w:sz w:val="36"/>
          <w:szCs w:val="32"/>
        </w:rPr>
        <w:t>）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，通常只针对每个消费群体的一种代表性商品</w:t>
      </w:r>
      <w:r w:rsidR="002A2B7C" w:rsidRPr="003D125E">
        <w:rPr>
          <w:rFonts w:ascii="仿宋_GB2312" w:eastAsia="仿宋_GB2312" w:hAnsi="仿宋_GB2312" w:cs="仿宋_GB2312" w:hint="eastAsia"/>
          <w:sz w:val="36"/>
          <w:szCs w:val="32"/>
        </w:rPr>
        <w:t>（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如大米或猪肉</w:t>
      </w:r>
      <w:r w:rsidR="002A2B7C" w:rsidRPr="003D125E">
        <w:rPr>
          <w:rFonts w:ascii="仿宋_GB2312" w:eastAsia="仿宋_GB2312" w:hAnsi="仿宋_GB2312" w:cs="仿宋_GB2312" w:hint="eastAsia"/>
          <w:sz w:val="36"/>
          <w:szCs w:val="32"/>
        </w:rPr>
        <w:t>）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展开调查。然而，由于品质不同，同类物品价格也有很大的差异，比如五花肉和里脊肉价格就不一样。如果忽略了质量因素，我们会低估家庭应对冲击的能力</w:t>
      </w:r>
      <w:r w:rsidR="00832A47" w:rsidRPr="003D125E">
        <w:rPr>
          <w:rFonts w:ascii="仿宋_GB2312" w:eastAsia="仿宋_GB2312" w:hAnsi="仿宋_GB2312" w:cs="仿宋_GB2312" w:hint="eastAsia"/>
          <w:sz w:val="36"/>
          <w:szCs w:val="32"/>
        </w:rPr>
        <w:t>，比如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家庭可选择价格较低而营养相似的商品作为替代品</w:t>
      </w:r>
      <w:r w:rsidR="00832A47" w:rsidRPr="003D125E">
        <w:rPr>
          <w:rFonts w:ascii="仿宋_GB2312" w:eastAsia="仿宋_GB2312" w:hAnsi="仿宋_GB2312" w:cs="仿宋_GB2312" w:hint="eastAsia"/>
          <w:sz w:val="36"/>
          <w:szCs w:val="32"/>
        </w:rPr>
        <w:t>。</w:t>
      </w:r>
      <w:r w:rsidR="008806F5" w:rsidRPr="003D125E">
        <w:rPr>
          <w:rFonts w:ascii="仿宋_GB2312" w:eastAsia="仿宋_GB2312" w:hAnsi="仿宋_GB2312" w:cs="仿宋_GB2312" w:hint="eastAsia"/>
          <w:sz w:val="36"/>
          <w:szCs w:val="32"/>
        </w:rPr>
        <w:t>因此，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我们可能</w:t>
      </w:r>
      <w:r w:rsidR="00832A47" w:rsidRPr="003D125E">
        <w:rPr>
          <w:rFonts w:ascii="仿宋_GB2312" w:eastAsia="仿宋_GB2312" w:hAnsi="仿宋_GB2312" w:cs="仿宋_GB2312" w:hint="eastAsia"/>
          <w:sz w:val="36"/>
          <w:szCs w:val="32"/>
        </w:rPr>
        <w:t>会</w:t>
      </w:r>
      <w:r w:rsidR="004E751E" w:rsidRPr="003D125E">
        <w:rPr>
          <w:rFonts w:ascii="仿宋_GB2312" w:eastAsia="仿宋_GB2312" w:hAnsi="仿宋_GB2312" w:cs="仿宋_GB2312" w:hint="eastAsia"/>
          <w:sz w:val="36"/>
          <w:szCs w:val="32"/>
        </w:rPr>
        <w:t>混淆生活成本的空间(和时间)差异与生活水平的差异。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lastRenderedPageBreak/>
        <w:t>目前，</w:t>
      </w:r>
      <w:r w:rsidR="000166FA"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与空间和</w:t>
      </w:r>
      <w:r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质量</w:t>
      </w:r>
      <w:r w:rsidR="00AE5257"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相关</w:t>
      </w:r>
      <w:r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的</w:t>
      </w:r>
      <w:r w:rsidR="004E751E"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价格差异</w:t>
      </w:r>
      <w:r w:rsidR="000166FA"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均未</w:t>
      </w:r>
      <w:r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得到</w:t>
      </w:r>
      <w:r w:rsidR="000166FA"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较</w:t>
      </w:r>
      <w:r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好的</w:t>
      </w:r>
      <w:r w:rsidR="004E751E"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测</w:t>
      </w:r>
      <w:r w:rsidRPr="003D125E">
        <w:rPr>
          <w:rFonts w:ascii="仿宋_GB2312" w:eastAsia="仿宋_GB2312" w:hAnsi="仿宋_GB2312" w:cs="仿宋_GB2312" w:hint="eastAsia"/>
          <w:bCs/>
          <w:sz w:val="36"/>
          <w:szCs w:val="32"/>
        </w:rPr>
        <w:t>量</w:t>
      </w:r>
      <w:r w:rsidR="004E751E" w:rsidRPr="003D125E"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="00AE5257" w:rsidRPr="003D125E">
        <w:rPr>
          <w:rFonts w:ascii="仿宋_GB2312" w:eastAsia="仿宋_GB2312" w:hAnsi="仿宋_GB2312" w:cs="仿宋_GB2312" w:hint="eastAsia"/>
          <w:sz w:val="36"/>
          <w:szCs w:val="32"/>
        </w:rPr>
        <w:t>这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不利于</w:t>
      </w:r>
      <w:r w:rsidR="004E751E" w:rsidRPr="003D125E">
        <w:rPr>
          <w:rFonts w:ascii="仿宋_GB2312" w:eastAsia="仿宋_GB2312" w:hAnsi="仿宋_GB2312" w:cs="仿宋_GB2312" w:hint="eastAsia"/>
          <w:sz w:val="36"/>
          <w:szCs w:val="32"/>
        </w:rPr>
        <w:t>对有关地区给予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精准</w:t>
      </w:r>
      <w:r w:rsidR="004E751E" w:rsidRPr="003D125E">
        <w:rPr>
          <w:rFonts w:ascii="仿宋_GB2312" w:eastAsia="仿宋_GB2312" w:hAnsi="仿宋_GB2312" w:cs="仿宋_GB2312" w:hint="eastAsia"/>
          <w:sz w:val="36"/>
          <w:szCs w:val="32"/>
        </w:rPr>
        <w:t>帮扶</w:t>
      </w:r>
      <w:r w:rsidR="00940B94" w:rsidRPr="003D125E">
        <w:rPr>
          <w:rFonts w:ascii="仿宋_GB2312" w:eastAsia="仿宋_GB2312" w:hAnsi="仿宋_GB2312" w:cs="仿宋_GB2312" w:hint="eastAsia"/>
          <w:sz w:val="36"/>
          <w:szCs w:val="32"/>
        </w:rPr>
        <w:t>，也不利于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比较“</w:t>
      </w:r>
      <w:r w:rsidR="00AE5257" w:rsidRPr="003D125E">
        <w:rPr>
          <w:rFonts w:ascii="仿宋_GB2312" w:eastAsia="仿宋_GB2312" w:hAnsi="仿宋_GB2312" w:cs="仿宋_GB2312" w:hint="eastAsia"/>
          <w:sz w:val="36"/>
          <w:szCs w:val="32"/>
        </w:rPr>
        <w:t>生活水平</w:t>
      </w:r>
      <w:r w:rsidR="00D66FA2" w:rsidRPr="003D125E">
        <w:rPr>
          <w:rFonts w:ascii="仿宋_GB2312" w:eastAsia="仿宋_GB2312" w:hAnsi="仿宋_GB2312" w:cs="仿宋_GB2312" w:hint="eastAsia"/>
          <w:sz w:val="36"/>
          <w:szCs w:val="32"/>
        </w:rPr>
        <w:t>提升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”和“减贫”</w:t>
      </w:r>
      <w:r w:rsidR="00D66FA2" w:rsidRPr="003D125E">
        <w:rPr>
          <w:rFonts w:ascii="仿宋_GB2312" w:eastAsia="仿宋_GB2312" w:hAnsi="仿宋_GB2312" w:cs="仿宋_GB2312" w:hint="eastAsia"/>
          <w:sz w:val="36"/>
          <w:szCs w:val="32"/>
        </w:rPr>
        <w:t>两</w:t>
      </w:r>
      <w:r w:rsidR="00AE5257" w:rsidRPr="003D125E">
        <w:rPr>
          <w:rFonts w:ascii="仿宋_GB2312" w:eastAsia="仿宋_GB2312" w:hAnsi="仿宋_GB2312" w:cs="仿宋_GB2312" w:hint="eastAsia"/>
          <w:sz w:val="36"/>
          <w:szCs w:val="32"/>
        </w:rPr>
        <w:t>方面的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进展。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黑体" w:eastAsia="黑体" w:hAnsi="黑体" w:cs="黑体"/>
          <w:sz w:val="36"/>
          <w:szCs w:val="32"/>
        </w:rPr>
      </w:pPr>
      <w:r w:rsidRPr="003D125E">
        <w:rPr>
          <w:rFonts w:ascii="黑体" w:eastAsia="黑体" w:hAnsi="黑体" w:cs="黑体" w:hint="eastAsia"/>
          <w:sz w:val="36"/>
          <w:szCs w:val="32"/>
        </w:rPr>
        <w:t>二、空间价格数据和空间平减指数的重要性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上述情况说明空间价格差异数据对贫困分析和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制定减贫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政策至关重要，主要有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以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下三点理由: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一是这些数据使我们能够比较不同地区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以及城乡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之间的生活成本，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符合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中国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的发展实际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。这些数据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也可以用来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比较生活水平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、测量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实际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的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不平等。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二是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扣除物价因素影响后的实际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贫困线应该相等。空间价格数据是将国家贫困线转换为不同地区和城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乡的实际贫困线的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必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要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条件。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三是家庭行为受到价格的制约，而价格又受到税收等公共政策的影响。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对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家庭行为和政策影响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的分析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需要准确的分类价格信息。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3"/>
        <w:rPr>
          <w:rFonts w:ascii="楷体" w:eastAsia="楷体" w:hAnsi="楷体" w:cs="楷体"/>
          <w:b/>
          <w:bCs/>
          <w:sz w:val="36"/>
          <w:szCs w:val="32"/>
        </w:rPr>
      </w:pPr>
      <w:r w:rsidRPr="003D125E">
        <w:rPr>
          <w:rFonts w:ascii="楷体" w:eastAsia="楷体" w:hAnsi="楷体" w:cs="楷体" w:hint="eastAsia"/>
          <w:b/>
          <w:bCs/>
          <w:sz w:val="36"/>
          <w:szCs w:val="32"/>
        </w:rPr>
        <w:t>（一）背景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一国的经济发展往往不均衡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有些地区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发达，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有些地区落后。</w:t>
      </w:r>
      <w:r w:rsidR="00A90B40" w:rsidRPr="003D125E">
        <w:rPr>
          <w:rFonts w:ascii="仿宋_GB2312" w:eastAsia="仿宋_GB2312" w:hAnsi="仿宋_GB2312" w:cs="仿宋_GB2312" w:hint="eastAsia"/>
          <w:sz w:val="36"/>
          <w:szCs w:val="32"/>
        </w:rPr>
        <w:t>发达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地区名义收入通常更高，物价水平也更高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这是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因为发达地区的人能在先进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的出口导向型公司（例如制造业）和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服务行业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（例如饭店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、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理发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lastRenderedPageBreak/>
        <w:t>店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、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超级市场）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就业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。与在贫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困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地区从事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同类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工作的人相比，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发达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地区的劳动力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能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获得更高的工资。这给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发达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地区的</w:t>
      </w:r>
      <w:r w:rsidR="006B77E2" w:rsidRPr="003D125E">
        <w:rPr>
          <w:rFonts w:ascii="仿宋_GB2312" w:eastAsia="仿宋_GB2312" w:hAnsi="仿宋_GB2312" w:cs="仿宋_GB2312" w:hint="eastAsia"/>
          <w:sz w:val="36"/>
          <w:szCs w:val="32"/>
        </w:rPr>
        <w:t>物价造成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了上行压力。此外，土地和房价也反映了当地的生产力。</w:t>
      </w:r>
    </w:p>
    <w:p w:rsidR="00ED77F2" w:rsidRPr="003D125E" w:rsidRDefault="006B77E2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因此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，地区间不平等的加剧在很大程度上反映了价格空间差异的扩大。这种情况对中国来说尤其如此，因为中国的土地市场正在迅速发展。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3"/>
        <w:rPr>
          <w:rFonts w:ascii="楷体" w:eastAsia="楷体" w:hAnsi="楷体" w:cs="楷体"/>
          <w:b/>
          <w:bCs/>
          <w:sz w:val="36"/>
          <w:szCs w:val="32"/>
        </w:rPr>
      </w:pPr>
      <w:r w:rsidRPr="003D125E">
        <w:rPr>
          <w:rFonts w:ascii="楷体" w:eastAsia="楷体" w:hAnsi="楷体" w:cs="楷体" w:hint="eastAsia"/>
          <w:b/>
          <w:bCs/>
          <w:sz w:val="36"/>
          <w:szCs w:val="32"/>
        </w:rPr>
        <w:t>（二）案例:基于住房成本变化的地区生活成本指数</w:t>
      </w:r>
    </w:p>
    <w:p w:rsidR="00E323DB" w:rsidRPr="003D125E" w:rsidRDefault="00E323DB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空间</w:t>
      </w:r>
      <w:r w:rsidR="001F7616" w:rsidRPr="003D125E">
        <w:rPr>
          <w:rFonts w:ascii="仿宋_GB2312" w:eastAsia="仿宋_GB2312" w:hAnsi="仿宋_GB2312" w:cs="仿宋_GB2312" w:hint="eastAsia"/>
          <w:sz w:val="36"/>
          <w:szCs w:val="32"/>
        </w:rPr>
        <w:t>平减指数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反映</w:t>
      </w:r>
      <w:r w:rsidR="001F7616" w:rsidRPr="003D125E">
        <w:rPr>
          <w:rFonts w:ascii="仿宋_GB2312" w:eastAsia="仿宋_GB2312" w:hAnsi="仿宋_GB2312" w:cs="仿宋_GB2312" w:hint="eastAsia"/>
          <w:sz w:val="36"/>
          <w:szCs w:val="32"/>
        </w:rPr>
        <w:t>的是应该增加多少收入，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才能</w:t>
      </w:r>
      <w:r w:rsidR="001F7616" w:rsidRPr="003D125E">
        <w:rPr>
          <w:rFonts w:ascii="仿宋_GB2312" w:eastAsia="仿宋_GB2312" w:hAnsi="仿宋_GB2312" w:cs="仿宋_GB2312" w:hint="eastAsia"/>
          <w:sz w:val="36"/>
          <w:szCs w:val="32"/>
        </w:rPr>
        <w:t>将生活成本的空间差异考虑在内，并在不同地区之间进行比较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。每个城市均有自己的空间平减指数</w:t>
      </w:r>
      <w:r w:rsidR="001F7616" w:rsidRPr="003D125E">
        <w:rPr>
          <w:rFonts w:ascii="仿宋_GB2312" w:eastAsia="仿宋_GB2312" w:hAnsi="仿宋_GB2312" w:cs="仿宋_GB2312" w:hint="eastAsia"/>
          <w:sz w:val="36"/>
          <w:szCs w:val="32"/>
        </w:rPr>
        <w:t>。</w:t>
      </w:r>
      <w:r w:rsidR="00FF75AD" w:rsidRPr="003D125E">
        <w:rPr>
          <w:rFonts w:ascii="仿宋_GB2312" w:eastAsia="仿宋_GB2312" w:hAnsi="仿宋_GB2312" w:cs="仿宋_GB2312" w:hint="eastAsia"/>
          <w:sz w:val="36"/>
          <w:szCs w:val="32"/>
        </w:rPr>
        <w:t>如果仅基于房价，那么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这个数值可能</w:t>
      </w:r>
      <w:r w:rsidR="00FF75AD" w:rsidRPr="003D125E">
        <w:rPr>
          <w:rFonts w:ascii="仿宋_GB2312" w:eastAsia="仿宋_GB2312" w:hAnsi="仿宋_GB2312" w:cs="仿宋_GB2312" w:hint="eastAsia"/>
          <w:sz w:val="36"/>
          <w:szCs w:val="32"/>
        </w:rPr>
        <w:t>会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被低估，因为不能反映出</w:t>
      </w:r>
      <w:r w:rsidR="007D5756">
        <w:rPr>
          <w:rFonts w:ascii="仿宋_GB2312" w:eastAsia="仿宋_GB2312" w:hAnsi="仿宋_GB2312" w:cs="仿宋_GB2312" w:hint="eastAsia"/>
          <w:sz w:val="36"/>
          <w:szCs w:val="32"/>
        </w:rPr>
        <w:t>其他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方面的价格差异</w:t>
      </w:r>
      <w:r w:rsidR="007D5756">
        <w:rPr>
          <w:rFonts w:ascii="仿宋_GB2312" w:eastAsia="仿宋_GB2312" w:hAnsi="仿宋_GB2312" w:cs="仿宋_GB2312" w:hint="eastAsia"/>
          <w:sz w:val="36"/>
          <w:szCs w:val="32"/>
        </w:rPr>
        <w:t>（比如</w:t>
      </w:r>
      <w:r w:rsidR="007D5756" w:rsidRPr="003D125E">
        <w:rPr>
          <w:rFonts w:ascii="仿宋_GB2312" w:eastAsia="仿宋_GB2312" w:hAnsi="仿宋_GB2312" w:cs="仿宋_GB2312" w:hint="eastAsia"/>
          <w:sz w:val="36"/>
          <w:szCs w:val="32"/>
        </w:rPr>
        <w:t>理发</w:t>
      </w:r>
      <w:r w:rsidR="007D5756">
        <w:rPr>
          <w:rFonts w:ascii="仿宋_GB2312" w:eastAsia="仿宋_GB2312" w:hAnsi="仿宋_GB2312" w:cs="仿宋_GB2312" w:hint="eastAsia"/>
          <w:sz w:val="36"/>
          <w:szCs w:val="32"/>
        </w:rPr>
        <w:t>）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。例如，北京10,000元的收入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相当于河北沧州市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的15740元的收入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，换而言之，沧州市的人只需要10000元/1</w:t>
      </w:r>
      <w:r w:rsidRPr="003D125E">
        <w:rPr>
          <w:rFonts w:ascii="仿宋_GB2312" w:eastAsia="仿宋_GB2312" w:hAnsi="仿宋_GB2312" w:cs="仿宋_GB2312"/>
          <w:sz w:val="36"/>
          <w:szCs w:val="32"/>
        </w:rPr>
        <w:t>.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574=6353元或更少的钱就能享受到北京需要10000元才能享受到的同样商品和服务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。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此处的1.574即空间平减指数。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因此，根据空间价格差异进行调整后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的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收入数据进行计算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发现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，城市之间的不平等现象将减少27％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</w:t>
      </w:r>
    </w:p>
    <w:p w:rsidR="00ED77F2" w:rsidRPr="003D125E" w:rsidRDefault="00E323DB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lastRenderedPageBreak/>
        <w:t>然而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空间平减指数尚未体现</w:t>
      </w:r>
      <w:r w:rsidR="007D5756">
        <w:rPr>
          <w:rFonts w:ascii="仿宋_GB2312" w:eastAsia="仿宋_GB2312" w:hAnsi="仿宋_GB2312" w:cs="仿宋_GB2312" w:hint="eastAsia"/>
          <w:sz w:val="36"/>
          <w:szCs w:val="32"/>
        </w:rPr>
        <w:t>出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城乡之间的价格差异。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很难对中国农村和城市地区</w:t>
      </w:r>
      <w:r w:rsidR="00AD0D73" w:rsidRPr="003D125E">
        <w:rPr>
          <w:rFonts w:ascii="仿宋_GB2312" w:eastAsia="仿宋_GB2312" w:hAnsi="仿宋_GB2312" w:cs="仿宋_GB2312" w:hint="eastAsia"/>
          <w:sz w:val="36"/>
          <w:szCs w:val="32"/>
        </w:rPr>
        <w:t>质量调整后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的住房进行</w:t>
      </w:r>
      <w:r w:rsidR="00AD0D73" w:rsidRPr="003D125E">
        <w:rPr>
          <w:rFonts w:ascii="仿宋_GB2312" w:eastAsia="仿宋_GB2312" w:hAnsi="仿宋_GB2312" w:cs="仿宋_GB2312" w:hint="eastAsia"/>
          <w:sz w:val="36"/>
          <w:szCs w:val="32"/>
        </w:rPr>
        <w:t>同期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比较</w:t>
      </w:r>
      <w:r w:rsidR="00AD0D73" w:rsidRPr="003D125E">
        <w:rPr>
          <w:rFonts w:ascii="仿宋_GB2312" w:eastAsia="仿宋_GB2312" w:hAnsi="仿宋_GB2312" w:cs="仿宋_GB2312" w:hint="eastAsia"/>
          <w:sz w:val="36"/>
          <w:szCs w:val="32"/>
        </w:rPr>
        <w:t>，如果</w:t>
      </w:r>
      <w:r w:rsidR="007D5756">
        <w:rPr>
          <w:rFonts w:ascii="仿宋_GB2312" w:eastAsia="仿宋_GB2312" w:hAnsi="仿宋_GB2312" w:cs="仿宋_GB2312" w:hint="eastAsia"/>
          <w:sz w:val="36"/>
          <w:szCs w:val="32"/>
        </w:rPr>
        <w:t>按照</w:t>
      </w:r>
      <w:r w:rsidR="00AD0D73" w:rsidRPr="003D125E">
        <w:rPr>
          <w:rFonts w:ascii="仿宋_GB2312" w:eastAsia="仿宋_GB2312" w:hAnsi="仿宋_GB2312" w:cs="仿宋_GB2312" w:hint="eastAsia"/>
          <w:sz w:val="36"/>
          <w:szCs w:val="32"/>
        </w:rPr>
        <w:t>城乡价格差异的方法来评估，将使问题变得更加复杂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。城市之间的比较表明，</w:t>
      </w:r>
      <w:r w:rsidR="00AD0D73" w:rsidRPr="003D125E">
        <w:rPr>
          <w:rFonts w:ascii="仿宋_GB2312" w:eastAsia="仿宋_GB2312" w:hAnsi="仿宋_GB2312" w:cs="仿宋_GB2312" w:hint="eastAsia"/>
          <w:sz w:val="36"/>
          <w:szCs w:val="32"/>
        </w:rPr>
        <w:t>主导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空间价格差异的主要</w:t>
      </w:r>
      <w:r w:rsidR="007D5756">
        <w:rPr>
          <w:rFonts w:ascii="仿宋_GB2312" w:eastAsia="仿宋_GB2312" w:hAnsi="仿宋_GB2312" w:cs="仿宋_GB2312" w:hint="eastAsia"/>
          <w:sz w:val="36"/>
          <w:szCs w:val="32"/>
        </w:rPr>
        <w:t>影响因素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是土地价格的区位效应，而不是住房的质量差异。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黑体" w:eastAsia="黑体" w:hAnsi="黑体" w:cs="黑体"/>
          <w:sz w:val="36"/>
          <w:szCs w:val="32"/>
        </w:rPr>
      </w:pPr>
      <w:r w:rsidRPr="003D125E">
        <w:rPr>
          <w:rFonts w:ascii="黑体" w:eastAsia="黑体" w:hAnsi="黑体" w:cs="黑体" w:hint="eastAsia"/>
          <w:sz w:val="36"/>
          <w:szCs w:val="32"/>
        </w:rPr>
        <w:t>三、衡量空间价格差异的两个</w:t>
      </w:r>
      <w:r w:rsidR="005C6AFF" w:rsidRPr="003D125E">
        <w:rPr>
          <w:rFonts w:ascii="黑体" w:eastAsia="黑体" w:hAnsi="黑体" w:cs="黑体" w:hint="eastAsia"/>
          <w:sz w:val="36"/>
          <w:szCs w:val="32"/>
        </w:rPr>
        <w:t>经验</w:t>
      </w: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不依赖分类价格数据的方法可能会产生误差。通过统计或建模推断价格差异</w:t>
      </w:r>
      <w:r w:rsidR="005C6AFF" w:rsidRPr="003D125E">
        <w:rPr>
          <w:rFonts w:ascii="仿宋_GB2312" w:eastAsia="仿宋_GB2312" w:hAnsi="仿宋_GB2312" w:cs="仿宋_GB2312" w:hint="eastAsia"/>
          <w:sz w:val="36"/>
          <w:szCs w:val="32"/>
        </w:rPr>
        <w:t>难以获得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可靠的结果。</w:t>
      </w:r>
    </w:p>
    <w:p w:rsidR="00ED77F2" w:rsidRPr="003D125E" w:rsidRDefault="0084543F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第一，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通过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消费价格指数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（CPI）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推导空间价格指数易产生误差。一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方面，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为构建CPI而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收集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价格的地点可能无法准确反映地理差异；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另一方面，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CPI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关注的是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商品和服务的价格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水平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，而不是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关注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每个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家庭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本身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，通常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富人消费在总消费中占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据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较大比例，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导致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CPI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中的代表性商品及服务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不成比例地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向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富人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消费的商品</w:t>
      </w:r>
      <w:r w:rsidR="005C7ED5" w:rsidRPr="003D125E">
        <w:rPr>
          <w:rFonts w:ascii="仿宋_GB2312" w:eastAsia="仿宋_GB2312" w:hAnsi="仿宋_GB2312" w:cs="仿宋_GB2312" w:hint="eastAsia"/>
          <w:sz w:val="36"/>
          <w:szCs w:val="32"/>
        </w:rPr>
        <w:t>和服务倾斜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。</w:t>
      </w:r>
    </w:p>
    <w:p w:rsidR="00872DC7" w:rsidRPr="003D125E" w:rsidRDefault="0084543F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第二，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收集可靠的空间价格差异数据的方法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有</w:t>
      </w:r>
      <w:r w:rsidR="005C6AFF" w:rsidRPr="003D125E">
        <w:rPr>
          <w:rFonts w:ascii="仿宋_GB2312" w:eastAsia="仿宋_GB2312" w:hAnsi="仿宋_GB2312" w:cs="仿宋_GB2312" w:hint="eastAsia"/>
          <w:sz w:val="36"/>
          <w:szCs w:val="32"/>
        </w:rPr>
        <w:t>：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一是参考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现有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商品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和服务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种类改进传统的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门店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调查；二是依靠专家和大数据；三是利用电子商务数据。</w:t>
      </w:r>
    </w:p>
    <w:p w:rsidR="00387A8E" w:rsidRDefault="00387A8E" w:rsidP="003D125E">
      <w:pPr>
        <w:adjustRightInd w:val="0"/>
        <w:snapToGrid w:val="0"/>
        <w:spacing w:line="360" w:lineRule="auto"/>
        <w:ind w:firstLineChars="200" w:firstLine="720"/>
        <w:rPr>
          <w:rFonts w:ascii="黑体" w:eastAsia="黑体" w:hAnsi="黑体" w:cs="黑体"/>
          <w:sz w:val="36"/>
          <w:szCs w:val="32"/>
        </w:rPr>
      </w:pPr>
    </w:p>
    <w:p w:rsidR="00ED77F2" w:rsidRPr="003D125E" w:rsidRDefault="002D0064" w:rsidP="003D125E">
      <w:pPr>
        <w:adjustRightInd w:val="0"/>
        <w:snapToGrid w:val="0"/>
        <w:spacing w:line="360" w:lineRule="auto"/>
        <w:ind w:firstLineChars="200" w:firstLine="720"/>
        <w:rPr>
          <w:rFonts w:ascii="黑体" w:eastAsia="黑体" w:hAnsi="黑体" w:cs="黑体"/>
          <w:sz w:val="36"/>
          <w:szCs w:val="32"/>
        </w:rPr>
      </w:pPr>
      <w:r w:rsidRPr="003D125E">
        <w:rPr>
          <w:rFonts w:ascii="黑体" w:eastAsia="黑体" w:hAnsi="黑体" w:cs="黑体" w:hint="eastAsia"/>
          <w:sz w:val="36"/>
          <w:szCs w:val="32"/>
        </w:rPr>
        <w:lastRenderedPageBreak/>
        <w:t>四、结论</w:t>
      </w:r>
    </w:p>
    <w:p w:rsidR="00ED77F2" w:rsidRPr="003D125E" w:rsidRDefault="0084543F" w:rsidP="003D125E">
      <w:pPr>
        <w:adjustRightInd w:val="0"/>
        <w:snapToGrid w:val="0"/>
        <w:spacing w:line="360" w:lineRule="auto"/>
        <w:ind w:firstLineChars="200" w:firstLine="720"/>
        <w:rPr>
          <w:rFonts w:ascii="仿宋_GB2312" w:eastAsia="仿宋_GB2312" w:hAnsi="仿宋_GB2312" w:cs="仿宋_GB2312"/>
          <w:sz w:val="36"/>
          <w:szCs w:val="32"/>
        </w:rPr>
      </w:pPr>
      <w:r w:rsidRPr="003D125E">
        <w:rPr>
          <w:rFonts w:ascii="仿宋_GB2312" w:eastAsia="仿宋_GB2312" w:hAnsi="仿宋_GB2312" w:cs="仿宋_GB2312" w:hint="eastAsia"/>
          <w:sz w:val="36"/>
          <w:szCs w:val="32"/>
        </w:rPr>
        <w:t>消除农村绝对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贫困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后，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空间价格差异数据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显得尤为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重要，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但与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空间和质量相关的价格差异都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尚未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得到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较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好的衡量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。有效掌握空间价格差异，将有利于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中国对贫困地区开展</w:t>
      </w:r>
      <w:r w:rsidRPr="003D125E">
        <w:rPr>
          <w:rFonts w:ascii="仿宋_GB2312" w:eastAsia="仿宋_GB2312" w:hAnsi="仿宋_GB2312" w:cs="仿宋_GB2312" w:hint="eastAsia"/>
          <w:sz w:val="36"/>
          <w:szCs w:val="32"/>
        </w:rPr>
        <w:t>更精准的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减贫工作，</w:t>
      </w:r>
      <w:r w:rsidR="008262BE" w:rsidRPr="003D125E">
        <w:rPr>
          <w:rFonts w:ascii="仿宋_GB2312" w:eastAsia="仿宋_GB2312" w:hAnsi="仿宋_GB2312" w:cs="仿宋_GB2312" w:hint="eastAsia"/>
          <w:sz w:val="36"/>
          <w:szCs w:val="32"/>
        </w:rPr>
        <w:t>更好地</w:t>
      </w:r>
      <w:r w:rsidR="006847C4">
        <w:rPr>
          <w:rFonts w:ascii="仿宋_GB2312" w:eastAsia="仿宋_GB2312" w:hAnsi="仿宋_GB2312" w:cs="仿宋_GB2312" w:hint="eastAsia"/>
          <w:sz w:val="36"/>
          <w:szCs w:val="32"/>
        </w:rPr>
        <w:t>理解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生活水平</w:t>
      </w:r>
      <w:r w:rsidR="008262BE" w:rsidRPr="003D125E">
        <w:rPr>
          <w:rFonts w:ascii="仿宋_GB2312" w:eastAsia="仿宋_GB2312" w:hAnsi="仿宋_GB2312" w:cs="仿宋_GB2312" w:hint="eastAsia"/>
          <w:sz w:val="36"/>
          <w:szCs w:val="32"/>
        </w:rPr>
        <w:t>提升与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减贫</w:t>
      </w:r>
      <w:r w:rsidR="008262BE" w:rsidRPr="003D125E">
        <w:rPr>
          <w:rFonts w:ascii="仿宋_GB2312" w:eastAsia="仿宋_GB2312" w:hAnsi="仿宋_GB2312" w:cs="仿宋_GB2312" w:hint="eastAsia"/>
          <w:sz w:val="36"/>
          <w:szCs w:val="32"/>
        </w:rPr>
        <w:t>的关系。此外，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确保</w:t>
      </w:r>
      <w:r w:rsidR="008262BE" w:rsidRPr="003D125E">
        <w:rPr>
          <w:rFonts w:ascii="仿宋_GB2312" w:eastAsia="仿宋_GB2312" w:hAnsi="仿宋_GB2312" w:cs="仿宋_GB2312" w:hint="eastAsia"/>
          <w:sz w:val="36"/>
          <w:szCs w:val="32"/>
        </w:rPr>
        <w:t>相关</w:t>
      </w:r>
      <w:r w:rsidR="002D0064" w:rsidRPr="003D125E">
        <w:rPr>
          <w:rFonts w:ascii="仿宋_GB2312" w:eastAsia="仿宋_GB2312" w:hAnsi="仿宋_GB2312" w:cs="仿宋_GB2312" w:hint="eastAsia"/>
          <w:sz w:val="36"/>
          <w:szCs w:val="32"/>
        </w:rPr>
        <w:t>数据</w:t>
      </w:r>
      <w:r w:rsidR="008262BE" w:rsidRPr="003D125E">
        <w:rPr>
          <w:rFonts w:ascii="仿宋_GB2312" w:eastAsia="仿宋_GB2312" w:hAnsi="仿宋_GB2312" w:cs="仿宋_GB2312" w:hint="eastAsia"/>
          <w:sz w:val="36"/>
          <w:szCs w:val="32"/>
        </w:rPr>
        <w:t>的可得性是计算空间价格指数、制定有关减贫政策的基础。</w:t>
      </w:r>
    </w:p>
    <w:p w:rsidR="003D125E" w:rsidRDefault="003D125E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125E" w:rsidRDefault="003D125E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E44B1" w:rsidRDefault="00FE44B1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125E" w:rsidRDefault="003D125E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125E" w:rsidRDefault="003D125E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125E" w:rsidRDefault="00872DC7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联系人：中国国际扶贫中心研究处   贺胜年</w:t>
      </w:r>
    </w:p>
    <w:p w:rsidR="003D125E" w:rsidRDefault="00872DC7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话：84419871</w:t>
      </w:r>
    </w:p>
    <w:p w:rsidR="003D4C5C" w:rsidRDefault="003D4C5C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4C5C" w:rsidRDefault="003D4C5C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07DE3" w:rsidRDefault="00307DE3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4C5C" w:rsidRDefault="003D4C5C" w:rsidP="003D12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125E" w:rsidRDefault="003D125E" w:rsidP="003D125E">
      <w:pPr>
        <w:spacing w:line="56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3D125E" w:rsidRPr="0059460F" w:rsidRDefault="003D125E" w:rsidP="003D125E">
      <w:pPr>
        <w:spacing w:line="560" w:lineRule="exact"/>
        <w:rPr>
          <w:rFonts w:ascii="仿宋" w:eastAsia="仿宋" w:hAnsi="仿宋"/>
          <w:sz w:val="36"/>
          <w:szCs w:val="36"/>
          <w:u w:val="thick" w:color="0070C0"/>
        </w:rPr>
      </w:pPr>
      <w:r w:rsidRPr="0059460F">
        <w:rPr>
          <w:rFonts w:ascii="仿宋" w:eastAsia="仿宋" w:hAnsi="仿宋" w:hint="eastAsia"/>
          <w:sz w:val="36"/>
          <w:szCs w:val="36"/>
          <w:u w:val="thick" w:color="0070C0"/>
        </w:rPr>
        <w:t xml:space="preserve">                                        </w:t>
      </w:r>
      <w:r w:rsidRPr="0059460F">
        <w:rPr>
          <w:rFonts w:ascii="仿宋" w:eastAsia="仿宋" w:hAnsi="仿宋"/>
          <w:sz w:val="36"/>
          <w:szCs w:val="36"/>
          <w:u w:val="thick" w:color="0070C0"/>
        </w:rPr>
        <w:t xml:space="preserve">      </w:t>
      </w:r>
    </w:p>
    <w:p w:rsidR="003D125E" w:rsidRPr="00872DC7" w:rsidRDefault="003D125E" w:rsidP="003D125E">
      <w:pPr>
        <w:spacing w:line="560" w:lineRule="exact"/>
        <w:rPr>
          <w:rFonts w:ascii="仿宋" w:eastAsia="仿宋" w:hAnsi="仿宋"/>
          <w:sz w:val="32"/>
          <w:szCs w:val="36"/>
        </w:rPr>
      </w:pPr>
      <w:r w:rsidRPr="00872DC7">
        <w:rPr>
          <w:rFonts w:ascii="仿宋" w:eastAsia="仿宋" w:hAnsi="仿宋" w:hint="eastAsia"/>
          <w:sz w:val="32"/>
          <w:szCs w:val="36"/>
        </w:rPr>
        <w:t>报送：办领导</w:t>
      </w:r>
    </w:p>
    <w:p w:rsidR="003D125E" w:rsidRPr="003D125E" w:rsidRDefault="003D125E" w:rsidP="00872D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872DC7">
        <w:rPr>
          <w:rFonts w:ascii="仿宋" w:eastAsia="仿宋" w:hAnsi="仿宋" w:hint="eastAsia"/>
          <w:sz w:val="32"/>
          <w:szCs w:val="36"/>
        </w:rPr>
        <w:t>分送：</w:t>
      </w:r>
      <w:r w:rsidR="0066310F">
        <w:rPr>
          <w:rFonts w:ascii="仿宋" w:eastAsia="仿宋" w:hAnsi="仿宋" w:hint="eastAsia"/>
          <w:sz w:val="32"/>
          <w:szCs w:val="36"/>
        </w:rPr>
        <w:t>办机关各</w:t>
      </w:r>
      <w:r w:rsidR="00872DC7" w:rsidRPr="00872DC7">
        <w:rPr>
          <w:rFonts w:ascii="仿宋" w:eastAsia="仿宋" w:hAnsi="仿宋" w:hint="eastAsia"/>
          <w:sz w:val="32"/>
          <w:szCs w:val="36"/>
        </w:rPr>
        <w:t>司、</w:t>
      </w:r>
      <w:r w:rsidR="0066310F">
        <w:rPr>
          <w:rFonts w:ascii="仿宋" w:eastAsia="仿宋" w:hAnsi="仿宋" w:hint="eastAsia"/>
          <w:sz w:val="32"/>
          <w:szCs w:val="36"/>
        </w:rPr>
        <w:t>各直属事业单位</w:t>
      </w:r>
    </w:p>
    <w:sectPr w:rsidR="003D125E" w:rsidRPr="003D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9F" w:rsidRDefault="006E189F" w:rsidP="006E6B21">
      <w:r>
        <w:separator/>
      </w:r>
    </w:p>
  </w:endnote>
  <w:endnote w:type="continuationSeparator" w:id="0">
    <w:p w:rsidR="006E189F" w:rsidRDefault="006E189F" w:rsidP="006E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9F" w:rsidRDefault="006E189F" w:rsidP="006E6B21">
      <w:r>
        <w:separator/>
      </w:r>
    </w:p>
  </w:footnote>
  <w:footnote w:type="continuationSeparator" w:id="0">
    <w:p w:rsidR="006E189F" w:rsidRDefault="006E189F" w:rsidP="006E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5078D8"/>
    <w:rsid w:val="000166FA"/>
    <w:rsid w:val="00016D8D"/>
    <w:rsid w:val="000205EA"/>
    <w:rsid w:val="000B430E"/>
    <w:rsid w:val="001F7616"/>
    <w:rsid w:val="00230BA2"/>
    <w:rsid w:val="002A2B7C"/>
    <w:rsid w:val="002B2063"/>
    <w:rsid w:val="002D0064"/>
    <w:rsid w:val="00307DE3"/>
    <w:rsid w:val="00387A8E"/>
    <w:rsid w:val="003A7841"/>
    <w:rsid w:val="003B4798"/>
    <w:rsid w:val="003D125E"/>
    <w:rsid w:val="003D4C5C"/>
    <w:rsid w:val="003F0AA5"/>
    <w:rsid w:val="00421E99"/>
    <w:rsid w:val="004E2A1E"/>
    <w:rsid w:val="004E751E"/>
    <w:rsid w:val="00533EF9"/>
    <w:rsid w:val="005464F3"/>
    <w:rsid w:val="0059460F"/>
    <w:rsid w:val="005B6067"/>
    <w:rsid w:val="005C6AFF"/>
    <w:rsid w:val="005C7ED5"/>
    <w:rsid w:val="00611D8B"/>
    <w:rsid w:val="006122A5"/>
    <w:rsid w:val="00655244"/>
    <w:rsid w:val="0066310F"/>
    <w:rsid w:val="006847C4"/>
    <w:rsid w:val="006B404C"/>
    <w:rsid w:val="006B77E2"/>
    <w:rsid w:val="006E189F"/>
    <w:rsid w:val="006E6B21"/>
    <w:rsid w:val="0075685A"/>
    <w:rsid w:val="007B4BB3"/>
    <w:rsid w:val="007D5756"/>
    <w:rsid w:val="00807FF3"/>
    <w:rsid w:val="008262BE"/>
    <w:rsid w:val="00832A47"/>
    <w:rsid w:val="0084543F"/>
    <w:rsid w:val="00872DC7"/>
    <w:rsid w:val="008806F5"/>
    <w:rsid w:val="008A7A52"/>
    <w:rsid w:val="008B6C23"/>
    <w:rsid w:val="00940B94"/>
    <w:rsid w:val="009440C0"/>
    <w:rsid w:val="00947CC8"/>
    <w:rsid w:val="00975303"/>
    <w:rsid w:val="009E15E4"/>
    <w:rsid w:val="00A519DB"/>
    <w:rsid w:val="00A90B40"/>
    <w:rsid w:val="00AD0D73"/>
    <w:rsid w:val="00AE5257"/>
    <w:rsid w:val="00AF43FD"/>
    <w:rsid w:val="00B04F04"/>
    <w:rsid w:val="00B634A0"/>
    <w:rsid w:val="00B96721"/>
    <w:rsid w:val="00BC09D4"/>
    <w:rsid w:val="00C129BE"/>
    <w:rsid w:val="00D473F4"/>
    <w:rsid w:val="00D533CE"/>
    <w:rsid w:val="00D66FA2"/>
    <w:rsid w:val="00E14568"/>
    <w:rsid w:val="00E323DB"/>
    <w:rsid w:val="00EC7988"/>
    <w:rsid w:val="00ED77F2"/>
    <w:rsid w:val="00EE5FF8"/>
    <w:rsid w:val="00FB1065"/>
    <w:rsid w:val="00FE44B1"/>
    <w:rsid w:val="00FF75AD"/>
    <w:rsid w:val="03AB7D29"/>
    <w:rsid w:val="0F8E5556"/>
    <w:rsid w:val="1E5078D8"/>
    <w:rsid w:val="4F1B15D8"/>
    <w:rsid w:val="5C5159ED"/>
    <w:rsid w:val="64E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B23C67-47B6-4E93-A734-E19B1FE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6E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E6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B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205EA"/>
    <w:rPr>
      <w:sz w:val="18"/>
      <w:szCs w:val="18"/>
    </w:rPr>
  </w:style>
  <w:style w:type="character" w:customStyle="1" w:styleId="a9">
    <w:name w:val="批注框文本 字符"/>
    <w:basedOn w:val="a0"/>
    <w:link w:val="a8"/>
    <w:rsid w:val="000205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72F41-30E4-4A93-A190-73DDFA97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Jingxiu</dc:creator>
  <cp:lastModifiedBy>HSN</cp:lastModifiedBy>
  <cp:revision>2</cp:revision>
  <cp:lastPrinted>2020-01-09T03:12:00Z</cp:lastPrinted>
  <dcterms:created xsi:type="dcterms:W3CDTF">2020-01-09T03:13:00Z</dcterms:created>
  <dcterms:modified xsi:type="dcterms:W3CDTF">2020-01-09T03:13:00Z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